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5" w:rsidRPr="00986C29" w:rsidRDefault="00747E15" w:rsidP="00747E15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附件1</w:t>
      </w:r>
    </w:p>
    <w:p w:rsidR="00747E15" w:rsidRPr="00986C29" w:rsidRDefault="00747E15" w:rsidP="00747E15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“乾元—日鑫月溢”（按日）开放式资产组合型人民币理财产品月度投资管理报告</w:t>
      </w:r>
    </w:p>
    <w:p w:rsidR="00747E15" w:rsidRPr="00986C29" w:rsidRDefault="00747E15" w:rsidP="00747E1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DC041F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1C51CC">
        <w:rPr>
          <w:rFonts w:ascii="宋体" w:hAnsi="宋体" w:hint="eastAsia"/>
          <w:color w:val="000000"/>
          <w:szCs w:val="21"/>
        </w:rPr>
        <w:t>2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1C51CC">
        <w:rPr>
          <w:rFonts w:ascii="宋体" w:hAnsi="宋体" w:hint="eastAsia"/>
          <w:color w:val="000000"/>
          <w:szCs w:val="21"/>
        </w:rPr>
        <w:t>28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Pr="004340C8" w:rsidRDefault="00747E15" w:rsidP="00747E15">
      <w:pPr>
        <w:jc w:val="lef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“乾元-日鑫月溢”（按日）开放式资产组合型人民币理财产品于</w:t>
      </w:r>
      <w:smartTag w:uri="urn:schemas-microsoft-com:office:smarttags" w:element="chsdate">
        <w:smartTagPr>
          <w:attr w:name="Year" w:val="2011"/>
          <w:attr w:name="Month" w:val="3"/>
          <w:attr w:name="Day" w:val="17"/>
          <w:attr w:name="IsLunarDate" w:val="False"/>
          <w:attr w:name="IsROCDate" w:val="False"/>
        </w:smartTagPr>
        <w:r w:rsidRPr="00986C29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986C29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</w:t>
      </w:r>
      <w:r w:rsidR="001C51CC" w:rsidRPr="001C51CC">
        <w:rPr>
          <w:rFonts w:ascii="宋体" w:hAnsi="宋体" w:hint="eastAsia"/>
          <w:color w:val="000000"/>
          <w:sz w:val="28"/>
          <w:szCs w:val="28"/>
        </w:rPr>
        <w:t>111,725,687,120.87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1C51CC" w:rsidRPr="009C7E87" w:rsidRDefault="001C51CC" w:rsidP="001C51C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28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741" w:type="dxa"/>
        <w:tblInd w:w="-1026" w:type="dxa"/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1134"/>
        <w:gridCol w:w="1134"/>
        <w:gridCol w:w="1134"/>
        <w:gridCol w:w="1134"/>
        <w:gridCol w:w="1276"/>
        <w:gridCol w:w="960"/>
      </w:tblGrid>
      <w:tr w:rsidR="007A7935" w:rsidRPr="001C51CC" w:rsidTr="00BE070B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1≤T＜7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7≤T＜14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14≤T＜30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30≤T＜60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60≤T＜90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90≤T＜180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180≤T＜365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T≥365</w:t>
            </w:r>
          </w:p>
        </w:tc>
      </w:tr>
      <w:tr w:rsidR="007A7935" w:rsidRPr="001C51CC" w:rsidTr="00BE070B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1C51CC" w:rsidP="001C51C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</w:t>
            </w:r>
            <w:r w:rsidR="007A7935" w:rsidRPr="001C51CC">
              <w:rPr>
                <w:rFonts w:ascii="宋体" w:hAnsi="宋体" w:hint="eastAsia"/>
                <w:color w:val="000000"/>
                <w:szCs w:val="21"/>
              </w:rPr>
              <w:t>收益率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3.90%</w:t>
            </w:r>
          </w:p>
        </w:tc>
      </w:tr>
    </w:tbl>
    <w:p w:rsidR="00BE070B" w:rsidRDefault="00BE070B" w:rsidP="00BE070B">
      <w:pPr>
        <w:spacing w:line="480" w:lineRule="exact"/>
        <w:ind w:firstLine="420"/>
        <w:rPr>
          <w:rFonts w:ascii="宋体" w:hAnsi="宋体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581772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5C82E22" wp14:editId="601D37AE">
            <wp:extent cx="3506856" cy="1789043"/>
            <wp:effectExtent l="38100" t="0" r="17780" b="2095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747E15" w:rsidRPr="00986C29" w:rsidRDefault="00581772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1E31ADC" wp14:editId="226AAC1E">
            <wp:extent cx="3498159" cy="1985755"/>
            <wp:effectExtent l="0" t="0" r="26670" b="1460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747E15" w:rsidRPr="00986C29" w:rsidRDefault="00581772" w:rsidP="00747E15">
      <w:pPr>
        <w:ind w:right="119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7A811BB" wp14:editId="4DD6F9AC">
            <wp:extent cx="5550195" cy="3030279"/>
            <wp:effectExtent l="0" t="0" r="12700" b="1778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197" w:firstLine="554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（四）投资类资产的行业占比构成及当月增减变化情况</w:t>
      </w:r>
    </w:p>
    <w:p w:rsidR="00747E15" w:rsidRDefault="00F4754D" w:rsidP="00747E15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8BF3A74" wp14:editId="6C901151">
            <wp:extent cx="5274310" cy="2097515"/>
            <wp:effectExtent l="0" t="0" r="21590" b="1714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</w:t>
      </w:r>
      <w:r w:rsidRPr="00986C29">
        <w:rPr>
          <w:rFonts w:ascii="宋体" w:hAnsi="宋体" w:hint="eastAsia"/>
          <w:color w:val="000000"/>
          <w:sz w:val="28"/>
          <w:szCs w:val="28"/>
        </w:rPr>
        <w:lastRenderedPageBreak/>
        <w:t>责、谨慎管理，忠实履行有关法律、行政法规和相关文件的规定。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961315" w:rsidRPr="00D34C9A" w:rsidRDefault="00747E15" w:rsidP="00D34C9A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605150">
        <w:rPr>
          <w:rFonts w:ascii="宋体" w:hAnsi="宋体" w:hint="eastAsia"/>
          <w:color w:val="000000"/>
          <w:sz w:val="28"/>
          <w:szCs w:val="28"/>
        </w:rPr>
        <w:t>8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1C51CC">
        <w:rPr>
          <w:rFonts w:ascii="宋体" w:hAnsi="宋体" w:hint="eastAsia"/>
          <w:color w:val="000000"/>
          <w:sz w:val="28"/>
          <w:szCs w:val="28"/>
        </w:rPr>
        <w:t>3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E24F4A">
        <w:rPr>
          <w:rFonts w:ascii="宋体" w:hAnsi="宋体" w:hint="eastAsia"/>
          <w:color w:val="000000"/>
          <w:sz w:val="28"/>
          <w:szCs w:val="28"/>
        </w:rPr>
        <w:t>7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  <w:bookmarkStart w:id="0" w:name="_GoBack"/>
      <w:bookmarkEnd w:id="0"/>
      <w:r w:rsidR="00D34C9A">
        <w:t xml:space="preserve"> </w:t>
      </w:r>
    </w:p>
    <w:p w:rsidR="00961315" w:rsidRPr="006317AB" w:rsidRDefault="00961315" w:rsidP="006317AB"/>
    <w:sectPr w:rsidR="00961315" w:rsidRPr="0063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3D" w:rsidRDefault="0041563D" w:rsidP="00747E15">
      <w:r>
        <w:separator/>
      </w:r>
    </w:p>
  </w:endnote>
  <w:endnote w:type="continuationSeparator" w:id="0">
    <w:p w:rsidR="0041563D" w:rsidRDefault="0041563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3D" w:rsidRDefault="0041563D" w:rsidP="00747E15">
      <w:r>
        <w:separator/>
      </w:r>
    </w:p>
  </w:footnote>
  <w:footnote w:type="continuationSeparator" w:id="0">
    <w:p w:rsidR="0041563D" w:rsidRDefault="0041563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F5E7E"/>
    <w:rsid w:val="00120E2F"/>
    <w:rsid w:val="00153C80"/>
    <w:rsid w:val="001C51CC"/>
    <w:rsid w:val="001E60BC"/>
    <w:rsid w:val="001F4173"/>
    <w:rsid w:val="00292733"/>
    <w:rsid w:val="002974F6"/>
    <w:rsid w:val="002A0C80"/>
    <w:rsid w:val="00332886"/>
    <w:rsid w:val="00333409"/>
    <w:rsid w:val="004118B6"/>
    <w:rsid w:val="0041563D"/>
    <w:rsid w:val="004340C8"/>
    <w:rsid w:val="004876ED"/>
    <w:rsid w:val="00491FFA"/>
    <w:rsid w:val="00556FF5"/>
    <w:rsid w:val="00574C73"/>
    <w:rsid w:val="00581772"/>
    <w:rsid w:val="005A7E4B"/>
    <w:rsid w:val="00605150"/>
    <w:rsid w:val="006317AB"/>
    <w:rsid w:val="006350AB"/>
    <w:rsid w:val="00657E0A"/>
    <w:rsid w:val="006D1B33"/>
    <w:rsid w:val="006D216F"/>
    <w:rsid w:val="00732817"/>
    <w:rsid w:val="007367C1"/>
    <w:rsid w:val="00747E15"/>
    <w:rsid w:val="007812E4"/>
    <w:rsid w:val="00784FEC"/>
    <w:rsid w:val="007A7935"/>
    <w:rsid w:val="007B72B7"/>
    <w:rsid w:val="007F05DC"/>
    <w:rsid w:val="00803A6A"/>
    <w:rsid w:val="00821DFE"/>
    <w:rsid w:val="00900022"/>
    <w:rsid w:val="00923258"/>
    <w:rsid w:val="009331AC"/>
    <w:rsid w:val="00961315"/>
    <w:rsid w:val="0096707E"/>
    <w:rsid w:val="009A0441"/>
    <w:rsid w:val="009F16C9"/>
    <w:rsid w:val="00A20C0F"/>
    <w:rsid w:val="00A4578C"/>
    <w:rsid w:val="00A66F45"/>
    <w:rsid w:val="00AD558F"/>
    <w:rsid w:val="00AD5E04"/>
    <w:rsid w:val="00BC6C87"/>
    <w:rsid w:val="00BE070B"/>
    <w:rsid w:val="00BF403D"/>
    <w:rsid w:val="00BF7077"/>
    <w:rsid w:val="00C118E8"/>
    <w:rsid w:val="00CC33AD"/>
    <w:rsid w:val="00D137A7"/>
    <w:rsid w:val="00D34C9A"/>
    <w:rsid w:val="00D57BDC"/>
    <w:rsid w:val="00DB4B6B"/>
    <w:rsid w:val="00DC041F"/>
    <w:rsid w:val="00DC0BC9"/>
    <w:rsid w:val="00DE7BE6"/>
    <w:rsid w:val="00DF32AC"/>
    <w:rsid w:val="00E24F4A"/>
    <w:rsid w:val="00E76F46"/>
    <w:rsid w:val="00EA1F92"/>
    <w:rsid w:val="00F217C2"/>
    <w:rsid w:val="00F328DC"/>
    <w:rsid w:val="00F4754D"/>
    <w:rsid w:val="00F65660"/>
    <w:rsid w:val="00FA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399316855243092E-2"/>
          <c:y val="4.1203593205976601E-2"/>
          <c:w val="0.6120956845245844"/>
          <c:h val="0.9104940462582508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'[2018年2月28日资产汇总表.xls]2018年2月'!$A$5:$A$7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'[2018年2月28日资产汇总表.xls]2018年2月'!$B$5:$B$7</c:f>
              <c:numCache>
                <c:formatCode>0.00%</c:formatCode>
                <c:ptCount val="3"/>
                <c:pt idx="0">
                  <c:v>0.31483383763223532</c:v>
                </c:pt>
                <c:pt idx="1">
                  <c:v>5.5800000000000002E-2</c:v>
                </c:pt>
                <c:pt idx="2">
                  <c:v>0.62939999999999996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649584701719501E-2"/>
          <c:y val="0.10726852003394174"/>
          <c:w val="0.7593125670829004"/>
          <c:h val="0.75988075064647953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'[2018年2月28日资产汇总表.xls]2018年2月'!$A$12:$A$16</c:f>
              <c:strCache>
                <c:ptCount val="4"/>
                <c:pt idx="0">
                  <c:v>AAA</c:v>
                </c:pt>
                <c:pt idx="1">
                  <c:v>AA+</c:v>
                </c:pt>
                <c:pt idx="2">
                  <c:v>AA-</c:v>
                </c:pt>
                <c:pt idx="3">
                  <c:v>AA</c:v>
                </c:pt>
              </c:strCache>
            </c:strRef>
          </c:cat>
          <c:val>
            <c:numRef>
              <c:f>'[2018年2月28日资产汇总表.xls]2018年2月'!$B$12:$B$16</c:f>
              <c:numCache>
                <c:formatCode>0.00%</c:formatCode>
                <c:ptCount val="5"/>
                <c:pt idx="0">
                  <c:v>0.16414289790281705</c:v>
                </c:pt>
                <c:pt idx="1">
                  <c:v>0.16549263116229687</c:v>
                </c:pt>
                <c:pt idx="2">
                  <c:v>0.3783377004743036</c:v>
                </c:pt>
                <c:pt idx="3">
                  <c:v>0.29202677046058245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718775564388166"/>
          <c:y val="5.0925998397481985E-2"/>
          <c:w val="0.62417909419499407"/>
          <c:h val="0.833094196558763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'[2018年2月28日资产汇总表.xls]2018年2月'!$B$20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'[2018年2月28日资产汇总表.xls]2018年2月'!$A$21:$A$31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</c:strCache>
            </c:strRef>
          </c:cat>
          <c:val>
            <c:numRef>
              <c:f>'[2018年2月28日资产汇总表.xls]2018年2月'!$B$21:$B$31</c:f>
              <c:numCache>
                <c:formatCode>0.00%</c:formatCode>
                <c:ptCount val="11"/>
                <c:pt idx="0">
                  <c:v>0.50959279051980411</c:v>
                </c:pt>
                <c:pt idx="1">
                  <c:v>1.7595687131845641E-2</c:v>
                </c:pt>
                <c:pt idx="2">
                  <c:v>0</c:v>
                </c:pt>
                <c:pt idx="3">
                  <c:v>5.8652290439485472E-2</c:v>
                </c:pt>
                <c:pt idx="4">
                  <c:v>2.9326145219742736E-2</c:v>
                </c:pt>
                <c:pt idx="5">
                  <c:v>2.0528301653819914E-2</c:v>
                </c:pt>
                <c:pt idx="6">
                  <c:v>7.3672033161362921E-2</c:v>
                </c:pt>
                <c:pt idx="7">
                  <c:v>3.804093890254865E-2</c:v>
                </c:pt>
                <c:pt idx="8">
                  <c:v>0.15025104432151942</c:v>
                </c:pt>
                <c:pt idx="9">
                  <c:v>8.8490176893312716E-3</c:v>
                </c:pt>
                <c:pt idx="10">
                  <c:v>9.3491750960539841E-2</c:v>
                </c:pt>
              </c:numCache>
            </c:numRef>
          </c:val>
        </c:ser>
        <c:ser>
          <c:idx val="1"/>
          <c:order val="1"/>
          <c:tx>
            <c:strRef>
              <c:f>'[2018年2月28日资产汇总表.xls]2018年2月'!$C$20</c:f>
              <c:strCache>
                <c:ptCount val="1"/>
                <c:pt idx="0">
                  <c:v>1月各行业</c:v>
                </c:pt>
              </c:strCache>
            </c:strRef>
          </c:tx>
          <c:invertIfNegative val="0"/>
          <c:cat>
            <c:strRef>
              <c:f>'[2018年2月28日资产汇总表.xls]2018年2月'!$A$21:$A$31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</c:strCache>
            </c:strRef>
          </c:cat>
          <c:val>
            <c:numRef>
              <c:f>'[2018年2月28日资产汇总表.xls]2018年2月'!$C$21:$C$31</c:f>
              <c:numCache>
                <c:formatCode>0.00%</c:formatCode>
                <c:ptCount val="11"/>
                <c:pt idx="0">
                  <c:v>0.59223832642691054</c:v>
                </c:pt>
                <c:pt idx="1">
                  <c:v>1.8034056370048286E-3</c:v>
                </c:pt>
                <c:pt idx="2">
                  <c:v>8.295665930222211E-2</c:v>
                </c:pt>
                <c:pt idx="3">
                  <c:v>0</c:v>
                </c:pt>
                <c:pt idx="4">
                  <c:v>4.1225852861930382E-2</c:v>
                </c:pt>
                <c:pt idx="5">
                  <c:v>7.2136225480193142E-3</c:v>
                </c:pt>
                <c:pt idx="6">
                  <c:v>0</c:v>
                </c:pt>
                <c:pt idx="7">
                  <c:v>3.3801883244497587E-2</c:v>
                </c:pt>
                <c:pt idx="8">
                  <c:v>0.19483670577365095</c:v>
                </c:pt>
                <c:pt idx="9">
                  <c:v>1.5280075621778211E-2</c:v>
                </c:pt>
                <c:pt idx="10">
                  <c:v>3.0643468583986047E-2</c:v>
                </c:pt>
              </c:numCache>
            </c:numRef>
          </c:val>
        </c:ser>
        <c:ser>
          <c:idx val="2"/>
          <c:order val="2"/>
          <c:tx>
            <c:strRef>
              <c:f>'[2018年2月28日资产汇总表.xls]2018年2月'!$D$20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'[2018年2月28日资产汇总表.xls]2018年2月'!$A$21:$A$31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</c:strCache>
            </c:strRef>
          </c:cat>
          <c:val>
            <c:numRef>
              <c:f>'[2018年2月28日资产汇总表.xls]2018年2月'!$D$21:$D$31</c:f>
              <c:numCache>
                <c:formatCode>0.00%</c:formatCode>
                <c:ptCount val="11"/>
                <c:pt idx="0">
                  <c:v>-8.2645535907106438E-2</c:v>
                </c:pt>
                <c:pt idx="1">
                  <c:v>1.5792281494840812E-2</c:v>
                </c:pt>
                <c:pt idx="2">
                  <c:v>-8.295665930222211E-2</c:v>
                </c:pt>
                <c:pt idx="3">
                  <c:v>5.8652290439485472E-2</c:v>
                </c:pt>
                <c:pt idx="4">
                  <c:v>-1.1899707642187646E-2</c:v>
                </c:pt>
                <c:pt idx="5">
                  <c:v>1.33146791058006E-2</c:v>
                </c:pt>
                <c:pt idx="6">
                  <c:v>7.3672033161362921E-2</c:v>
                </c:pt>
                <c:pt idx="7">
                  <c:v>4.2390556580510635E-3</c:v>
                </c:pt>
                <c:pt idx="8">
                  <c:v>-4.4585661452131525E-2</c:v>
                </c:pt>
                <c:pt idx="9">
                  <c:v>-6.4310579324469395E-3</c:v>
                </c:pt>
                <c:pt idx="10">
                  <c:v>6.2848282376553793E-2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238912"/>
        <c:axId val="129240448"/>
      </c:barChart>
      <c:catAx>
        <c:axId val="129238912"/>
        <c:scaling>
          <c:orientation val="minMax"/>
        </c:scaling>
        <c:delete val="0"/>
        <c:axPos val="l"/>
        <c:numFmt formatCode="#,##0_);[Red]\(#,##0\)" sourceLinked="0"/>
        <c:majorTickMark val="in"/>
        <c:minorTickMark val="in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29240448"/>
        <c:crosses val="autoZero"/>
        <c:auto val="0"/>
        <c:lblAlgn val="ctr"/>
        <c:lblOffset val="0"/>
        <c:noMultiLvlLbl val="0"/>
      </c:catAx>
      <c:valAx>
        <c:axId val="129240448"/>
        <c:scaling>
          <c:orientation val="minMax"/>
          <c:max val="0.60000000000000009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29238912"/>
        <c:crosses val="autoZero"/>
        <c:crossBetween val="between"/>
        <c:majorUnit val="5.000000000000001E-2"/>
      </c:valAx>
    </c:plotArea>
    <c:legend>
      <c:legendPos val="r"/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baseline="0"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26790909917993"/>
          <c:y val="6.266642263993856E-2"/>
          <c:w val="0.76037690409888559"/>
          <c:h val="0.79461562201695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'[2018年2月28日资产汇总表.xls]2018年2月'!$B$40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'[2018年2月28日资产汇总表.xls]2018年2月'!$A$41:$A$51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农、林、牧、渔业</c:v>
                </c:pt>
                <c:pt idx="5">
                  <c:v>水利、环境和公共设施管理业</c:v>
                </c:pt>
                <c:pt idx="6">
                  <c:v>制造业</c:v>
                </c:pt>
                <c:pt idx="7">
                  <c:v>综合</c:v>
                </c:pt>
                <c:pt idx="8">
                  <c:v>租赁和商务服务业</c:v>
                </c:pt>
                <c:pt idx="9">
                  <c:v>建筑业</c:v>
                </c:pt>
                <c:pt idx="10">
                  <c:v>批发和零售业</c:v>
                </c:pt>
              </c:strCache>
            </c:strRef>
          </c:cat>
          <c:val>
            <c:numRef>
              <c:f>'[2018年2月28日资产汇总表.xls]2018年2月'!$B$41:$B$51</c:f>
              <c:numCache>
                <c:formatCode>0.00%</c:formatCode>
                <c:ptCount val="11"/>
                <c:pt idx="0">
                  <c:v>3.8873223805418406E-3</c:v>
                </c:pt>
                <c:pt idx="1">
                  <c:v>8.5734452770317039E-3</c:v>
                </c:pt>
                <c:pt idx="2">
                  <c:v>1.95146705850494E-3</c:v>
                </c:pt>
                <c:pt idx="3">
                  <c:v>0.67407479941362203</c:v>
                </c:pt>
                <c:pt idx="4">
                  <c:v>1.170880235102964E-3</c:v>
                </c:pt>
                <c:pt idx="5">
                  <c:v>7.6055176160132526E-3</c:v>
                </c:pt>
                <c:pt idx="6">
                  <c:v>5.2689610579633381E-2</c:v>
                </c:pt>
                <c:pt idx="7">
                  <c:v>6.88E-2</c:v>
                </c:pt>
                <c:pt idx="8">
                  <c:v>0.17146851524722237</c:v>
                </c:pt>
                <c:pt idx="9">
                  <c:v>9.7443255121346661E-3</c:v>
                </c:pt>
                <c:pt idx="10">
                  <c:v>1.8312566877010357E-7</c:v>
                </c:pt>
              </c:numCache>
            </c:numRef>
          </c:val>
        </c:ser>
        <c:ser>
          <c:idx val="1"/>
          <c:order val="1"/>
          <c:tx>
            <c:strRef>
              <c:f>'[2018年2月28日资产汇总表.xls]2018年2月'!$C$40</c:f>
              <c:strCache>
                <c:ptCount val="1"/>
                <c:pt idx="0">
                  <c:v>1月各行业</c:v>
                </c:pt>
              </c:strCache>
            </c:strRef>
          </c:tx>
          <c:invertIfNegative val="0"/>
          <c:cat>
            <c:strRef>
              <c:f>'[2018年2月28日资产汇总表.xls]2018年2月'!$A$41:$A$51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农、林、牧、渔业</c:v>
                </c:pt>
                <c:pt idx="5">
                  <c:v>水利、环境和公共设施管理业</c:v>
                </c:pt>
                <c:pt idx="6">
                  <c:v>制造业</c:v>
                </c:pt>
                <c:pt idx="7">
                  <c:v>综合</c:v>
                </c:pt>
                <c:pt idx="8">
                  <c:v>租赁和商务服务业</c:v>
                </c:pt>
                <c:pt idx="9">
                  <c:v>建筑业</c:v>
                </c:pt>
                <c:pt idx="10">
                  <c:v>批发和零售业</c:v>
                </c:pt>
              </c:strCache>
            </c:strRef>
          </c:cat>
          <c:val>
            <c:numRef>
              <c:f>'[2018年2月28日资产汇总表.xls]2018年2月'!$C$41:$C$51</c:f>
              <c:numCache>
                <c:formatCode>0.00%</c:formatCode>
                <c:ptCount val="11"/>
                <c:pt idx="0">
                  <c:v>3.7176201259113646E-2</c:v>
                </c:pt>
                <c:pt idx="1">
                  <c:v>6.0342896956727302E-2</c:v>
                </c:pt>
                <c:pt idx="2">
                  <c:v>1.8662751636101226E-2</c:v>
                </c:pt>
                <c:pt idx="3">
                  <c:v>0.67559160922686445</c:v>
                </c:pt>
                <c:pt idx="4">
                  <c:v>0</c:v>
                </c:pt>
                <c:pt idx="5">
                  <c:v>4.9841988702814345E-2</c:v>
                </c:pt>
                <c:pt idx="6">
                  <c:v>0.15552293030084355</c:v>
                </c:pt>
                <c:pt idx="7">
                  <c:v>1.8662751636101228E-3</c:v>
                </c:pt>
                <c:pt idx="8">
                  <c:v>9.9534675392539871E-4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'[2018年2月28日资产汇总表.xls]2018年2月'!$D$40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'[2018年2月28日资产汇总表.xls]2018年2月'!$A$41:$A$51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农、林、牧、渔业</c:v>
                </c:pt>
                <c:pt idx="5">
                  <c:v>水利、环境和公共设施管理业</c:v>
                </c:pt>
                <c:pt idx="6">
                  <c:v>制造业</c:v>
                </c:pt>
                <c:pt idx="7">
                  <c:v>综合</c:v>
                </c:pt>
                <c:pt idx="8">
                  <c:v>租赁和商务服务业</c:v>
                </c:pt>
                <c:pt idx="9">
                  <c:v>建筑业</c:v>
                </c:pt>
                <c:pt idx="10">
                  <c:v>批发和零售业</c:v>
                </c:pt>
              </c:strCache>
            </c:strRef>
          </c:cat>
          <c:val>
            <c:numRef>
              <c:f>'[2018年2月28日资产汇总表.xls]2018年2月'!$D$41:$D$51</c:f>
              <c:numCache>
                <c:formatCode>0.00%</c:formatCode>
                <c:ptCount val="11"/>
                <c:pt idx="0">
                  <c:v>-3.3288878878571806E-2</c:v>
                </c:pt>
                <c:pt idx="1">
                  <c:v>-5.1769451679695599E-2</c:v>
                </c:pt>
                <c:pt idx="2">
                  <c:v>-1.6711284577596287E-2</c:v>
                </c:pt>
                <c:pt idx="3">
                  <c:v>-1.5168098132424257E-3</c:v>
                </c:pt>
                <c:pt idx="4">
                  <c:v>1.170880235102964E-3</c:v>
                </c:pt>
                <c:pt idx="5">
                  <c:v>-4.2236471086801092E-2</c:v>
                </c:pt>
                <c:pt idx="6">
                  <c:v>-0.10283331972121017</c:v>
                </c:pt>
                <c:pt idx="7">
                  <c:v>6.6933724836389874E-2</c:v>
                </c:pt>
                <c:pt idx="8">
                  <c:v>0.17047316849329697</c:v>
                </c:pt>
                <c:pt idx="9">
                  <c:v>9.7443255121346661E-3</c:v>
                </c:pt>
                <c:pt idx="10">
                  <c:v>1.8312566877010357E-7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761472"/>
        <c:axId val="130763008"/>
      </c:barChart>
      <c:catAx>
        <c:axId val="1307614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30763008"/>
        <c:crosses val="autoZero"/>
        <c:auto val="1"/>
        <c:lblAlgn val="ctr"/>
        <c:lblOffset val="100"/>
        <c:noMultiLvlLbl val="0"/>
      </c:catAx>
      <c:valAx>
        <c:axId val="130763008"/>
        <c:scaling>
          <c:orientation val="minMax"/>
          <c:max val="0.70000000000000007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0761472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84808381513717357"/>
          <c:y val="0.12898965757308245"/>
          <c:w val="0.1405883685625447"/>
          <c:h val="0.3090522253084426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2018-03-06T07:31:00Z</dcterms:created>
  <dcterms:modified xsi:type="dcterms:W3CDTF">2018-03-06T07:31:00Z</dcterms:modified>
</cp:coreProperties>
</file>